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814B7" w14:textId="50B1CFF8" w:rsidR="00C1132C" w:rsidRPr="006E06A5" w:rsidRDefault="00C1132C" w:rsidP="00594ADC">
      <w:pPr>
        <w:jc w:val="center"/>
        <w:rPr>
          <w:rFonts w:asciiTheme="majorEastAsia" w:eastAsiaTheme="majorEastAsia" w:hAnsiTheme="majorEastAsia" w:cs="Times New Roman"/>
          <w:b/>
          <w:bCs/>
          <w:sz w:val="28"/>
          <w:szCs w:val="28"/>
        </w:rPr>
      </w:pPr>
      <w:bookmarkStart w:id="0" w:name="_GoBack"/>
      <w:bookmarkEnd w:id="0"/>
      <w:r w:rsidRPr="006E06A5">
        <w:rPr>
          <w:rFonts w:asciiTheme="majorEastAsia" w:eastAsiaTheme="majorEastAsia" w:hAnsiTheme="majorEastAsia" w:cs="新細明體" w:hint="eastAsia"/>
          <w:b/>
          <w:bCs/>
          <w:sz w:val="28"/>
          <w:szCs w:val="28"/>
        </w:rPr>
        <w:t>泡泡龍寶貝的骨骼健康</w:t>
      </w:r>
      <w:r w:rsidRPr="006E06A5">
        <w:rPr>
          <w:rFonts w:asciiTheme="majorEastAsia" w:eastAsiaTheme="majorEastAsia" w:hAnsiTheme="majorEastAsia"/>
          <w:b/>
          <w:bCs/>
          <w:sz w:val="28"/>
          <w:szCs w:val="28"/>
        </w:rPr>
        <w:t>—</w:t>
      </w:r>
      <w:r w:rsidRPr="006E06A5">
        <w:rPr>
          <w:rFonts w:asciiTheme="majorEastAsia" w:eastAsiaTheme="majorEastAsia" w:hAnsiTheme="majorEastAsia" w:cs="新細明體" w:hint="eastAsia"/>
          <w:b/>
          <w:bCs/>
          <w:sz w:val="28"/>
          <w:szCs w:val="28"/>
        </w:rPr>
        <w:t>骨質疏鬆症</w:t>
      </w:r>
    </w:p>
    <w:p w14:paraId="2DBF7BB6" w14:textId="77777777" w:rsidR="00C1132C" w:rsidRDefault="00C1132C" w:rsidP="00594ADC">
      <w:pPr>
        <w:rPr>
          <w:rFonts w:cs="新細明體"/>
        </w:rPr>
      </w:pPr>
      <w:r>
        <w:rPr>
          <w:rFonts w:cs="Times New Roman"/>
        </w:rPr>
        <w:tab/>
      </w:r>
      <w:r w:rsidRPr="00594ADC">
        <w:rPr>
          <w:rFonts w:cs="新細明體" w:hint="eastAsia"/>
        </w:rPr>
        <w:t>先天性表皮鬆解性水皰症</w:t>
      </w:r>
      <w:r>
        <w:t xml:space="preserve"> (Hereditary Epidermolysis bullosa, EB)</w:t>
      </w:r>
      <w:r>
        <w:rPr>
          <w:rFonts w:cs="新細明體" w:hint="eastAsia"/>
        </w:rPr>
        <w:t>，在台灣又稱為泡泡龍的疾病患者由於先天基因的突變或遺傳，造成病友身上表皮與真皮之間的數種蛋白質無法正常產生。此異常使得病友時常因輕微摩擦或稍處於潮濕悶熱的環境下即產生大而易破的水泡。</w:t>
      </w:r>
    </w:p>
    <w:p w14:paraId="25F9B6AE" w14:textId="77777777" w:rsidR="00303954" w:rsidRDefault="00303954" w:rsidP="00594ADC">
      <w:pPr>
        <w:rPr>
          <w:rFonts w:cs="Times New Roman"/>
        </w:rPr>
      </w:pPr>
    </w:p>
    <w:p w14:paraId="77E20893" w14:textId="77777777" w:rsidR="00C1132C" w:rsidRDefault="005F559B" w:rsidP="00766E2E">
      <w:pPr>
        <w:ind w:firstLine="480"/>
        <w:rPr>
          <w:rFonts w:cs="新細明體"/>
        </w:rPr>
      </w:pPr>
      <w:r>
        <w:rPr>
          <w:rFonts w:cs="新細明體" w:hint="eastAsia"/>
        </w:rPr>
        <w:t>一般人的骨頭發育</w:t>
      </w:r>
      <w:r w:rsidR="00C1132C">
        <w:rPr>
          <w:rFonts w:cs="新細明體" w:hint="eastAsia"/>
        </w:rPr>
        <w:t>需要足夠的維他命</w:t>
      </w:r>
      <w:r>
        <w:t>D</w:t>
      </w:r>
      <w:r w:rsidR="00D03245">
        <w:rPr>
          <w:rFonts w:cs="新細明體" w:hint="eastAsia"/>
        </w:rPr>
        <w:t>與鈣質，並</w:t>
      </w:r>
      <w:r w:rsidR="00C1132C">
        <w:rPr>
          <w:rFonts w:cs="新細明體" w:hint="eastAsia"/>
        </w:rPr>
        <w:t>加上適當</w:t>
      </w:r>
      <w:r w:rsidR="00D03245">
        <w:rPr>
          <w:rFonts w:cs="新細明體" w:hint="eastAsia"/>
        </w:rPr>
        <w:t>的</w:t>
      </w:r>
      <w:r w:rsidR="00C1132C">
        <w:rPr>
          <w:rFonts w:cs="新細明體" w:hint="eastAsia"/>
        </w:rPr>
        <w:t>負重運動</w:t>
      </w:r>
      <w:r w:rsidR="00C1132C">
        <w:t xml:space="preserve"> (</w:t>
      </w:r>
      <w:r w:rsidR="00C1132C">
        <w:rPr>
          <w:rFonts w:cs="新細明體" w:hint="eastAsia"/>
        </w:rPr>
        <w:t>如：跑步、重量訓練、跳繩</w:t>
      </w:r>
      <w:r w:rsidR="00C1132C">
        <w:t>)</w:t>
      </w:r>
      <w:r>
        <w:rPr>
          <w:rFonts w:cs="新細明體" w:hint="eastAsia"/>
        </w:rPr>
        <w:t>來刺激骨頭生長。當鈣質缺乏、</w:t>
      </w:r>
      <w:r w:rsidR="00C1132C">
        <w:rPr>
          <w:rFonts w:cs="新細明體" w:hint="eastAsia"/>
        </w:rPr>
        <w:t>活動量減少不足</w:t>
      </w:r>
      <w:r>
        <w:rPr>
          <w:rFonts w:cs="新細明體" w:hint="eastAsia"/>
        </w:rPr>
        <w:t>或是長期處於慢性發炎狀態時，骨質密度都容易下降，容易產生骨質疏鬆</w:t>
      </w:r>
      <w:r w:rsidR="00C1132C">
        <w:rPr>
          <w:rFonts w:cs="新細明體" w:hint="eastAsia"/>
        </w:rPr>
        <w:t>。骨質疏鬆</w:t>
      </w:r>
      <w:r>
        <w:rPr>
          <w:rFonts w:cs="新細明體" w:hint="eastAsia"/>
        </w:rPr>
        <w:t>的診斷條件</w:t>
      </w:r>
      <w:r w:rsidR="00C1132C">
        <w:rPr>
          <w:rFonts w:cs="新細明體" w:hint="eastAsia"/>
        </w:rPr>
        <w:t>是</w:t>
      </w:r>
      <w:r w:rsidR="00C1132C">
        <w:t>DXA(</w:t>
      </w:r>
      <w:r w:rsidR="00C1132C">
        <w:rPr>
          <w:rFonts w:cs="新細明體" w:hint="eastAsia"/>
        </w:rPr>
        <w:t>骨質密度檢查</w:t>
      </w:r>
      <w:r w:rsidR="00C1132C">
        <w:t>)</w:t>
      </w:r>
      <w:r w:rsidR="00C1132C">
        <w:rPr>
          <w:rFonts w:cs="新細明體" w:hint="eastAsia"/>
        </w:rPr>
        <w:t>下</w:t>
      </w:r>
      <w:r>
        <w:rPr>
          <w:rFonts w:cs="新細明體" w:hint="eastAsia"/>
        </w:rPr>
        <w:t>T</w:t>
      </w:r>
      <w:r>
        <w:rPr>
          <w:rFonts w:cs="新細明體" w:hint="eastAsia"/>
        </w:rPr>
        <w:t>值小於等於</w:t>
      </w:r>
      <w:r>
        <w:t>-2.5</w:t>
      </w:r>
      <w:r>
        <w:rPr>
          <w:rFonts w:cs="新細明體" w:hint="eastAsia"/>
        </w:rPr>
        <w:t>為骨質疏鬆，</w:t>
      </w:r>
      <w:r>
        <w:t>-1</w:t>
      </w:r>
      <w:r>
        <w:rPr>
          <w:rFonts w:cs="新細明體" w:hint="eastAsia"/>
        </w:rPr>
        <w:t>至</w:t>
      </w:r>
      <w:r>
        <w:t>-2.5</w:t>
      </w:r>
      <w:r>
        <w:rPr>
          <w:rFonts w:cs="新細明體" w:hint="eastAsia"/>
        </w:rPr>
        <w:t>之間為低骨量。</w:t>
      </w:r>
      <w:r w:rsidR="00C1132C">
        <w:rPr>
          <w:rFonts w:cs="新細明體" w:hint="eastAsia"/>
        </w:rPr>
        <w:t>停經後女性或</w:t>
      </w:r>
      <w:r w:rsidR="00C1132C">
        <w:t>50</w:t>
      </w:r>
      <w:r>
        <w:rPr>
          <w:rFonts w:cs="新細明體" w:hint="eastAsia"/>
        </w:rPr>
        <w:t>歲以上男性適用</w:t>
      </w:r>
      <w:r w:rsidR="00C1132C">
        <w:t>T</w:t>
      </w:r>
      <w:r>
        <w:rPr>
          <w:rFonts w:cs="新細明體" w:hint="eastAsia"/>
        </w:rPr>
        <w:t>值診斷，而</w:t>
      </w:r>
      <w:r w:rsidR="00C1132C">
        <w:rPr>
          <w:rFonts w:cs="新細明體" w:hint="eastAsia"/>
        </w:rPr>
        <w:t>較年輕的病友則是適用</w:t>
      </w:r>
      <w:r w:rsidR="00C1132C">
        <w:t>Z</w:t>
      </w:r>
      <w:r w:rsidR="00C1132C">
        <w:rPr>
          <w:rFonts w:cs="新細明體" w:hint="eastAsia"/>
        </w:rPr>
        <w:t>值幫助評估骨質密度。</w:t>
      </w:r>
    </w:p>
    <w:p w14:paraId="356FE7AA" w14:textId="77777777" w:rsidR="00303954" w:rsidRDefault="00303954" w:rsidP="00766E2E">
      <w:pPr>
        <w:ind w:firstLine="480"/>
        <w:rPr>
          <w:rFonts w:cs="Times New Roman"/>
        </w:rPr>
      </w:pPr>
    </w:p>
    <w:p w14:paraId="21172CC4" w14:textId="7F7D4A04" w:rsidR="00C1132C" w:rsidRDefault="005F559B" w:rsidP="00766E2E">
      <w:pPr>
        <w:ind w:firstLine="480"/>
        <w:rPr>
          <w:rFonts w:cs="新細明體"/>
        </w:rPr>
      </w:pPr>
      <w:r>
        <w:rPr>
          <w:rFonts w:cs="新細明體" w:hint="eastAsia"/>
        </w:rPr>
        <w:t>預防骨折也是骨質疏鬆治療的最主要目標。</w:t>
      </w:r>
      <w:r w:rsidR="00410FC0">
        <w:rPr>
          <w:rFonts w:cs="新細明體" w:hint="eastAsia"/>
        </w:rPr>
        <w:t>骨鬆性骨折又稱脆弱性骨折常於低衝擊能量下發生於</w:t>
      </w:r>
      <w:r>
        <w:rPr>
          <w:rFonts w:cs="新細明體" w:hint="eastAsia"/>
        </w:rPr>
        <w:t>脊椎</w:t>
      </w:r>
      <w:r w:rsidR="00410FC0">
        <w:rPr>
          <w:rFonts w:cs="新細明體" w:hint="eastAsia"/>
        </w:rPr>
        <w:t>、髖部、腕部等位置</w:t>
      </w:r>
      <w:r>
        <w:rPr>
          <w:rFonts w:cs="新細明體" w:hint="eastAsia"/>
        </w:rPr>
        <w:t>。由於脊椎骨折症狀較不明顯，一般評估上</w:t>
      </w:r>
      <w:r w:rsidR="00C1132C">
        <w:rPr>
          <w:rFonts w:cs="新細明體" w:hint="eastAsia"/>
        </w:rPr>
        <w:t>建議</w:t>
      </w:r>
      <w:r>
        <w:rPr>
          <w:rFonts w:cs="新細明體" w:hint="eastAsia"/>
        </w:rPr>
        <w:t>可以定期</w:t>
      </w:r>
      <w:r w:rsidR="00C1132C">
        <w:rPr>
          <w:rFonts w:cs="新細明體" w:hint="eastAsia"/>
        </w:rPr>
        <w:t>篩檢脊椎</w:t>
      </w:r>
      <w:r w:rsidR="00C1132C">
        <w:t>X</w:t>
      </w:r>
      <w:r>
        <w:rPr>
          <w:rFonts w:cs="新細明體" w:hint="eastAsia"/>
        </w:rPr>
        <w:t>光有無異常</w:t>
      </w:r>
      <w:r w:rsidR="00C1132C">
        <w:rPr>
          <w:rFonts w:cs="新細明體" w:hint="eastAsia"/>
        </w:rPr>
        <w:t>。</w:t>
      </w:r>
    </w:p>
    <w:p w14:paraId="111D2409" w14:textId="77777777" w:rsidR="00303954" w:rsidRPr="00923EAB" w:rsidRDefault="00303954" w:rsidP="00766E2E">
      <w:pPr>
        <w:ind w:firstLine="480"/>
        <w:rPr>
          <w:rFonts w:cs="Times New Roman"/>
        </w:rPr>
      </w:pPr>
    </w:p>
    <w:p w14:paraId="25FC3607" w14:textId="27EB0CE2" w:rsidR="00C1132C" w:rsidRDefault="00C1132C" w:rsidP="00D2038C">
      <w:pPr>
        <w:ind w:firstLine="480"/>
        <w:rPr>
          <w:rFonts w:cs="新細明體"/>
        </w:rPr>
      </w:pPr>
      <w:r>
        <w:rPr>
          <w:rFonts w:cs="新細明體" w:hint="eastAsia"/>
        </w:rPr>
        <w:t>多篇醫學研究顯示泡泡龍患者，尤其是</w:t>
      </w:r>
      <w:r>
        <w:t>RDEB(</w:t>
      </w:r>
      <w:r>
        <w:rPr>
          <w:rFonts w:cs="新細明體" w:hint="eastAsia"/>
        </w:rPr>
        <w:t>隱性失養型</w:t>
      </w:r>
      <w:r>
        <w:t>)</w:t>
      </w:r>
      <w:r>
        <w:rPr>
          <w:rFonts w:cs="新細明體" w:hint="eastAsia"/>
        </w:rPr>
        <w:t>及</w:t>
      </w:r>
      <w:r>
        <w:t>JEB(</w:t>
      </w:r>
      <w:r>
        <w:rPr>
          <w:rFonts w:cs="新細明體" w:hint="eastAsia"/>
        </w:rPr>
        <w:t>接合型</w:t>
      </w:r>
      <w:r>
        <w:t>)</w:t>
      </w:r>
      <w:r>
        <w:rPr>
          <w:rFonts w:cs="新細明體" w:hint="eastAsia"/>
        </w:rPr>
        <w:t>等較嚴重亞型為骨質疏鬆症的高危險族群</w:t>
      </w:r>
      <w:r w:rsidR="005F559B">
        <w:rPr>
          <w:rFonts w:cs="新細明體" w:hint="eastAsia"/>
        </w:rPr>
        <w:t>。研究也指出</w:t>
      </w:r>
      <w:r w:rsidRPr="00410FC0">
        <w:rPr>
          <w:rFonts w:cs="新細明體" w:hint="eastAsia"/>
          <w:b/>
          <w:bCs/>
        </w:rPr>
        <w:t>活動不足為</w:t>
      </w:r>
      <w:r w:rsidR="005F559B" w:rsidRPr="00410FC0">
        <w:rPr>
          <w:rFonts w:cs="新細明體" w:hint="eastAsia"/>
          <w:b/>
          <w:bCs/>
        </w:rPr>
        <w:t>導致</w:t>
      </w:r>
      <w:r w:rsidRPr="00410FC0">
        <w:rPr>
          <w:rFonts w:cs="新細明體" w:hint="eastAsia"/>
          <w:b/>
          <w:bCs/>
        </w:rPr>
        <w:t>骨質疏鬆的最大影響因子</w:t>
      </w:r>
      <w:r>
        <w:rPr>
          <w:rFonts w:cs="新細明體" w:hint="eastAsia"/>
        </w:rPr>
        <w:t>。所以建議病友平時能動則多動，並且注意補充足夠的鈣質與維他命</w:t>
      </w:r>
      <w:r>
        <w:t>D</w:t>
      </w:r>
      <w:r>
        <w:rPr>
          <w:rFonts w:cs="新細明體" w:hint="eastAsia"/>
        </w:rPr>
        <w:t>；可考慮定期自費檢查骨密度與脊椎</w:t>
      </w:r>
      <w:r>
        <w:t>X</w:t>
      </w:r>
      <w:r>
        <w:rPr>
          <w:rFonts w:cs="新細明體" w:hint="eastAsia"/>
        </w:rPr>
        <w:t>光。</w:t>
      </w:r>
    </w:p>
    <w:p w14:paraId="57B16C54" w14:textId="77777777" w:rsidR="00303954" w:rsidRPr="00827E8A" w:rsidRDefault="00303954" w:rsidP="00D2038C">
      <w:pPr>
        <w:ind w:firstLine="480"/>
        <w:rPr>
          <w:rFonts w:cs="Times New Roman"/>
        </w:rPr>
      </w:pPr>
    </w:p>
    <w:tbl>
      <w:tblPr>
        <w:tblW w:w="8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992"/>
        <w:gridCol w:w="1701"/>
        <w:gridCol w:w="4678"/>
      </w:tblGrid>
      <w:tr w:rsidR="00C1132C" w:rsidRPr="002347AB" w14:paraId="4216C342" w14:textId="77777777">
        <w:tc>
          <w:tcPr>
            <w:tcW w:w="988" w:type="dxa"/>
            <w:shd w:val="clear" w:color="auto" w:fill="E7E6E6"/>
          </w:tcPr>
          <w:p w14:paraId="4C95BEC9" w14:textId="77777777" w:rsidR="00C1132C" w:rsidRPr="002347AB" w:rsidRDefault="00C1132C" w:rsidP="002347AB">
            <w:pPr>
              <w:jc w:val="center"/>
              <w:rPr>
                <w:rFonts w:cs="Times New Roman"/>
              </w:rPr>
            </w:pPr>
            <w:r w:rsidRPr="002347AB">
              <w:rPr>
                <w:rFonts w:cs="新細明體" w:hint="eastAsia"/>
              </w:rPr>
              <w:t>營養素</w:t>
            </w:r>
          </w:p>
        </w:tc>
        <w:tc>
          <w:tcPr>
            <w:tcW w:w="2693" w:type="dxa"/>
            <w:gridSpan w:val="2"/>
            <w:shd w:val="clear" w:color="auto" w:fill="E7E6E6"/>
          </w:tcPr>
          <w:p w14:paraId="27C510EB" w14:textId="77777777" w:rsidR="00C1132C" w:rsidRPr="002347AB" w:rsidRDefault="00C1132C" w:rsidP="002347AB">
            <w:pPr>
              <w:jc w:val="center"/>
              <w:rPr>
                <w:rFonts w:cs="Times New Roman"/>
              </w:rPr>
            </w:pPr>
            <w:r w:rsidRPr="002347AB">
              <w:rPr>
                <w:rFonts w:cs="新細明體" w:hint="eastAsia"/>
              </w:rPr>
              <w:t>每日建議補充量</w:t>
            </w:r>
          </w:p>
        </w:tc>
        <w:tc>
          <w:tcPr>
            <w:tcW w:w="4678" w:type="dxa"/>
            <w:shd w:val="clear" w:color="auto" w:fill="E7E6E6"/>
          </w:tcPr>
          <w:p w14:paraId="4E26D06D" w14:textId="77777777" w:rsidR="00C1132C" w:rsidRPr="002347AB" w:rsidRDefault="00C1132C" w:rsidP="002347AB">
            <w:pPr>
              <w:jc w:val="center"/>
              <w:rPr>
                <w:rFonts w:cs="Times New Roman"/>
              </w:rPr>
            </w:pPr>
            <w:r w:rsidRPr="002347AB">
              <w:rPr>
                <w:rFonts w:cs="新細明體" w:hint="eastAsia"/>
              </w:rPr>
              <w:t>注意事項</w:t>
            </w:r>
          </w:p>
        </w:tc>
      </w:tr>
      <w:tr w:rsidR="00C1132C" w:rsidRPr="002347AB" w14:paraId="063962DB" w14:textId="77777777">
        <w:trPr>
          <w:trHeight w:val="720"/>
        </w:trPr>
        <w:tc>
          <w:tcPr>
            <w:tcW w:w="988" w:type="dxa"/>
            <w:vMerge w:val="restart"/>
          </w:tcPr>
          <w:p w14:paraId="7E4D96C3" w14:textId="77777777" w:rsidR="00C1132C" w:rsidRPr="002347AB" w:rsidRDefault="00C1132C" w:rsidP="002347AB">
            <w:pPr>
              <w:jc w:val="center"/>
              <w:rPr>
                <w:rFonts w:cs="Times New Roman"/>
                <w:b/>
                <w:bCs/>
              </w:rPr>
            </w:pPr>
            <w:r w:rsidRPr="002347AB">
              <w:rPr>
                <w:rFonts w:cs="新細明體" w:hint="eastAsia"/>
                <w:b/>
                <w:bCs/>
              </w:rPr>
              <w:t>鈣質</w:t>
            </w:r>
          </w:p>
        </w:tc>
        <w:tc>
          <w:tcPr>
            <w:tcW w:w="992" w:type="dxa"/>
          </w:tcPr>
          <w:p w14:paraId="019DA43D" w14:textId="77777777" w:rsidR="00C1132C" w:rsidRPr="002347AB" w:rsidRDefault="00C1132C" w:rsidP="002347AB">
            <w:pPr>
              <w:jc w:val="center"/>
              <w:rPr>
                <w:rFonts w:cs="Times New Roman"/>
              </w:rPr>
            </w:pPr>
            <w:r w:rsidRPr="002347AB">
              <w:t>&gt;10</w:t>
            </w:r>
            <w:r w:rsidRPr="002347AB">
              <w:rPr>
                <w:rFonts w:cs="新細明體" w:hint="eastAsia"/>
              </w:rPr>
              <w:t>歲</w:t>
            </w:r>
          </w:p>
        </w:tc>
        <w:tc>
          <w:tcPr>
            <w:tcW w:w="1701" w:type="dxa"/>
          </w:tcPr>
          <w:p w14:paraId="17B27322" w14:textId="77777777" w:rsidR="00C1132C" w:rsidRPr="002347AB" w:rsidRDefault="00C1132C" w:rsidP="009145F3">
            <w:r w:rsidRPr="002347AB">
              <w:t>1000-1200 mg</w:t>
            </w:r>
          </w:p>
        </w:tc>
        <w:tc>
          <w:tcPr>
            <w:tcW w:w="4678" w:type="dxa"/>
            <w:vMerge w:val="restart"/>
          </w:tcPr>
          <w:p w14:paraId="33F790F5" w14:textId="77777777" w:rsidR="00C1132C" w:rsidRPr="00A51E20" w:rsidRDefault="008D7F03" w:rsidP="002347AB">
            <w:pPr>
              <w:pStyle w:val="a4"/>
              <w:numPr>
                <w:ilvl w:val="0"/>
                <w:numId w:val="1"/>
              </w:numPr>
              <w:ind w:leftChars="0"/>
              <w:rPr>
                <w:rFonts w:cs="Times New Roman"/>
              </w:rPr>
            </w:pPr>
            <w:r w:rsidRPr="00A51E20">
              <w:rPr>
                <w:rFonts w:cs="新細明體" w:hint="eastAsia"/>
              </w:rPr>
              <w:t>可以</w:t>
            </w:r>
            <w:r w:rsidR="00C1132C" w:rsidRPr="00A51E20">
              <w:rPr>
                <w:rFonts w:cs="新細明體" w:hint="eastAsia"/>
              </w:rPr>
              <w:t>分兩次補充，一次吃</w:t>
            </w:r>
            <w:r w:rsidR="00C1132C" w:rsidRPr="00A51E20">
              <w:t>500mg</w:t>
            </w:r>
            <w:r w:rsidR="00C1132C" w:rsidRPr="00A51E20">
              <w:rPr>
                <w:rFonts w:cs="新細明體" w:hint="eastAsia"/>
              </w:rPr>
              <w:t>的吸收率比較好</w:t>
            </w:r>
          </w:p>
          <w:p w14:paraId="3B80CF6C" w14:textId="77777777" w:rsidR="00C1132C" w:rsidRPr="00A51E20" w:rsidRDefault="00C1132C" w:rsidP="002347AB">
            <w:pPr>
              <w:pStyle w:val="a4"/>
              <w:numPr>
                <w:ilvl w:val="0"/>
                <w:numId w:val="1"/>
              </w:numPr>
              <w:ind w:leftChars="0"/>
              <w:rPr>
                <w:rFonts w:cs="Times New Roman"/>
              </w:rPr>
            </w:pPr>
            <w:r w:rsidRPr="00A51E20">
              <w:rPr>
                <w:rFonts w:cs="新細明體" w:hint="eastAsia"/>
              </w:rPr>
              <w:t>高鈣食物：鮮乳</w:t>
            </w:r>
            <w:r w:rsidR="008D7F03" w:rsidRPr="00A51E20">
              <w:rPr>
                <w:rFonts w:cs="新細明體" w:hint="eastAsia"/>
              </w:rPr>
              <w:t>、豆干、小魚乾</w:t>
            </w:r>
            <w:r w:rsidRPr="00A51E20">
              <w:rPr>
                <w:rFonts w:cs="新細明體" w:hint="eastAsia"/>
              </w:rPr>
              <w:t>、香椿、芥藍、紅莧菜</w:t>
            </w:r>
          </w:p>
          <w:p w14:paraId="57A23E35" w14:textId="77777777" w:rsidR="00C1132C" w:rsidRPr="00A51E20" w:rsidRDefault="00C1132C" w:rsidP="002347AB">
            <w:pPr>
              <w:pStyle w:val="a4"/>
              <w:numPr>
                <w:ilvl w:val="0"/>
                <w:numId w:val="1"/>
              </w:numPr>
              <w:ind w:leftChars="0"/>
              <w:rPr>
                <w:rFonts w:cs="Times New Roman"/>
              </w:rPr>
            </w:pPr>
            <w:r w:rsidRPr="00A51E20">
              <w:rPr>
                <w:rFonts w:cs="新細明體" w:hint="eastAsia"/>
              </w:rPr>
              <w:t>多補充水分和纖維預防鈣片產生便秘</w:t>
            </w:r>
          </w:p>
        </w:tc>
      </w:tr>
      <w:tr w:rsidR="00C1132C" w:rsidRPr="002347AB" w14:paraId="74F5990C" w14:textId="77777777">
        <w:trPr>
          <w:trHeight w:val="720"/>
        </w:trPr>
        <w:tc>
          <w:tcPr>
            <w:tcW w:w="988" w:type="dxa"/>
            <w:vMerge/>
          </w:tcPr>
          <w:p w14:paraId="629218BD" w14:textId="77777777" w:rsidR="00C1132C" w:rsidRPr="002347AB" w:rsidRDefault="00C1132C" w:rsidP="002347AB">
            <w:pPr>
              <w:jc w:val="center"/>
              <w:rPr>
                <w:rFonts w:cs="Times New Roman"/>
                <w:b/>
                <w:bCs/>
              </w:rPr>
            </w:pPr>
          </w:p>
        </w:tc>
        <w:tc>
          <w:tcPr>
            <w:tcW w:w="992" w:type="dxa"/>
          </w:tcPr>
          <w:p w14:paraId="19CBF8CF" w14:textId="77777777" w:rsidR="00C1132C" w:rsidRPr="002347AB" w:rsidRDefault="00C1132C" w:rsidP="002347AB">
            <w:pPr>
              <w:jc w:val="center"/>
            </w:pPr>
            <w:r w:rsidRPr="002347AB">
              <w:t>7-10</w:t>
            </w:r>
          </w:p>
        </w:tc>
        <w:tc>
          <w:tcPr>
            <w:tcW w:w="1701" w:type="dxa"/>
          </w:tcPr>
          <w:p w14:paraId="4114D120" w14:textId="77777777" w:rsidR="00C1132C" w:rsidRPr="002347AB" w:rsidRDefault="00C1132C" w:rsidP="002347AB">
            <w:pPr>
              <w:jc w:val="center"/>
            </w:pPr>
            <w:r w:rsidRPr="002347AB">
              <w:t>800-1000 mg</w:t>
            </w:r>
          </w:p>
        </w:tc>
        <w:tc>
          <w:tcPr>
            <w:tcW w:w="4678" w:type="dxa"/>
            <w:vMerge/>
          </w:tcPr>
          <w:p w14:paraId="56A78DBE" w14:textId="77777777" w:rsidR="00C1132C" w:rsidRPr="002347AB" w:rsidRDefault="00C1132C" w:rsidP="002347AB">
            <w:pPr>
              <w:pStyle w:val="a4"/>
              <w:numPr>
                <w:ilvl w:val="0"/>
                <w:numId w:val="1"/>
              </w:numPr>
              <w:ind w:leftChars="0"/>
              <w:rPr>
                <w:rFonts w:cs="Times New Roman"/>
              </w:rPr>
            </w:pPr>
          </w:p>
        </w:tc>
      </w:tr>
      <w:tr w:rsidR="00C1132C" w:rsidRPr="002347AB" w14:paraId="71871C48" w14:textId="77777777">
        <w:trPr>
          <w:trHeight w:val="517"/>
        </w:trPr>
        <w:tc>
          <w:tcPr>
            <w:tcW w:w="988" w:type="dxa"/>
            <w:vMerge/>
          </w:tcPr>
          <w:p w14:paraId="0CFD5833" w14:textId="77777777" w:rsidR="00C1132C" w:rsidRPr="002347AB" w:rsidRDefault="00C1132C" w:rsidP="002347AB">
            <w:pPr>
              <w:jc w:val="center"/>
              <w:rPr>
                <w:rFonts w:cs="Times New Roman"/>
                <w:b/>
                <w:bCs/>
              </w:rPr>
            </w:pPr>
          </w:p>
        </w:tc>
        <w:tc>
          <w:tcPr>
            <w:tcW w:w="992" w:type="dxa"/>
          </w:tcPr>
          <w:p w14:paraId="6E2D534C" w14:textId="77777777" w:rsidR="00C1132C" w:rsidRPr="002347AB" w:rsidRDefault="00C1132C" w:rsidP="002347AB">
            <w:pPr>
              <w:jc w:val="center"/>
              <w:rPr>
                <w:rFonts w:cs="Times New Roman"/>
              </w:rPr>
            </w:pPr>
            <w:r w:rsidRPr="002347AB">
              <w:t>1-6</w:t>
            </w:r>
            <w:r w:rsidRPr="002347AB">
              <w:rPr>
                <w:rFonts w:cs="新細明體" w:hint="eastAsia"/>
              </w:rPr>
              <w:t>歲</w:t>
            </w:r>
          </w:p>
        </w:tc>
        <w:tc>
          <w:tcPr>
            <w:tcW w:w="1701" w:type="dxa"/>
          </w:tcPr>
          <w:p w14:paraId="5BE18258" w14:textId="77777777" w:rsidR="00C1132C" w:rsidRPr="002347AB" w:rsidRDefault="00C1132C" w:rsidP="002347AB">
            <w:pPr>
              <w:jc w:val="center"/>
            </w:pPr>
            <w:r w:rsidRPr="002347AB">
              <w:t>400-600mg</w:t>
            </w:r>
          </w:p>
        </w:tc>
        <w:tc>
          <w:tcPr>
            <w:tcW w:w="4678" w:type="dxa"/>
            <w:vMerge/>
          </w:tcPr>
          <w:p w14:paraId="75524DFF" w14:textId="77777777" w:rsidR="00C1132C" w:rsidRPr="002347AB" w:rsidRDefault="00C1132C" w:rsidP="002347AB">
            <w:pPr>
              <w:pStyle w:val="a4"/>
              <w:numPr>
                <w:ilvl w:val="0"/>
                <w:numId w:val="1"/>
              </w:numPr>
              <w:ind w:leftChars="0"/>
              <w:rPr>
                <w:rFonts w:cs="Times New Roman"/>
              </w:rPr>
            </w:pPr>
          </w:p>
        </w:tc>
      </w:tr>
      <w:tr w:rsidR="00C1132C" w:rsidRPr="002347AB" w14:paraId="73DEE953" w14:textId="77777777">
        <w:trPr>
          <w:trHeight w:val="1085"/>
        </w:trPr>
        <w:tc>
          <w:tcPr>
            <w:tcW w:w="988" w:type="dxa"/>
            <w:vMerge w:val="restart"/>
          </w:tcPr>
          <w:p w14:paraId="6754DEAE" w14:textId="77777777" w:rsidR="00C1132C" w:rsidRPr="002347AB" w:rsidRDefault="00C1132C" w:rsidP="002347AB">
            <w:pPr>
              <w:jc w:val="center"/>
              <w:rPr>
                <w:b/>
                <w:bCs/>
              </w:rPr>
            </w:pPr>
            <w:r w:rsidRPr="002347AB">
              <w:rPr>
                <w:rFonts w:cs="新細明體" w:hint="eastAsia"/>
                <w:b/>
                <w:bCs/>
              </w:rPr>
              <w:t>維他命</w:t>
            </w:r>
            <w:r w:rsidRPr="002347AB">
              <w:rPr>
                <w:b/>
                <w:bCs/>
              </w:rPr>
              <w:t>D</w:t>
            </w:r>
          </w:p>
        </w:tc>
        <w:tc>
          <w:tcPr>
            <w:tcW w:w="992" w:type="dxa"/>
          </w:tcPr>
          <w:p w14:paraId="3DEFA209" w14:textId="77777777" w:rsidR="00C1132C" w:rsidRPr="002347AB" w:rsidRDefault="00C1132C" w:rsidP="009145F3">
            <w:pPr>
              <w:rPr>
                <w:rFonts w:cs="Times New Roman"/>
              </w:rPr>
            </w:pPr>
            <w:r w:rsidRPr="002347AB">
              <w:rPr>
                <w:rFonts w:cs="新細明體" w:hint="eastAsia"/>
              </w:rPr>
              <w:t>高風險族群</w:t>
            </w:r>
          </w:p>
        </w:tc>
        <w:tc>
          <w:tcPr>
            <w:tcW w:w="1701" w:type="dxa"/>
          </w:tcPr>
          <w:p w14:paraId="2D281188" w14:textId="77777777" w:rsidR="00C1132C" w:rsidRPr="002347AB" w:rsidRDefault="00C1132C" w:rsidP="002347AB">
            <w:pPr>
              <w:tabs>
                <w:tab w:val="left" w:pos="490"/>
              </w:tabs>
            </w:pPr>
            <w:r w:rsidRPr="002347AB">
              <w:t>700-800 IU</w:t>
            </w:r>
          </w:p>
        </w:tc>
        <w:tc>
          <w:tcPr>
            <w:tcW w:w="4678" w:type="dxa"/>
            <w:vMerge w:val="restart"/>
          </w:tcPr>
          <w:p w14:paraId="75355536" w14:textId="77777777" w:rsidR="00C1132C" w:rsidRPr="002347AB" w:rsidRDefault="00C1132C" w:rsidP="002347AB">
            <w:pPr>
              <w:pStyle w:val="a4"/>
              <w:numPr>
                <w:ilvl w:val="0"/>
                <w:numId w:val="2"/>
              </w:numPr>
              <w:ind w:leftChars="0"/>
            </w:pPr>
            <w:r w:rsidRPr="002347AB">
              <w:rPr>
                <w:rFonts w:cs="新細明體" w:hint="eastAsia"/>
              </w:rPr>
              <w:t>每天早上或傍晚各曬</w:t>
            </w:r>
            <w:r w:rsidRPr="002347AB">
              <w:t>10-20</w:t>
            </w:r>
            <w:r w:rsidRPr="002347AB">
              <w:rPr>
                <w:rFonts w:cs="新細明體" w:hint="eastAsia"/>
              </w:rPr>
              <w:t>分鐘太陽</w:t>
            </w:r>
            <w:r w:rsidRPr="002347AB">
              <w:t xml:space="preserve"> (</w:t>
            </w:r>
            <w:r w:rsidRPr="002347AB">
              <w:rPr>
                <w:rFonts w:cs="新細明體" w:hint="eastAsia"/>
              </w:rPr>
              <w:t>泡泡龍病友較不建議</w:t>
            </w:r>
            <w:r w:rsidRPr="002347AB">
              <w:t>)</w:t>
            </w:r>
          </w:p>
          <w:p w14:paraId="1A12EB69" w14:textId="77777777" w:rsidR="00C1132C" w:rsidRPr="00A51E20" w:rsidRDefault="00C1132C" w:rsidP="002347AB">
            <w:pPr>
              <w:pStyle w:val="a4"/>
              <w:numPr>
                <w:ilvl w:val="0"/>
                <w:numId w:val="2"/>
              </w:numPr>
              <w:ind w:leftChars="0"/>
            </w:pPr>
            <w:r w:rsidRPr="00A51E20">
              <w:rPr>
                <w:rFonts w:cs="新細明體" w:hint="eastAsia"/>
              </w:rPr>
              <w:t>使用營養補充品補充維他命</w:t>
            </w:r>
            <w:r w:rsidRPr="00A51E20">
              <w:t>D</w:t>
            </w:r>
          </w:p>
          <w:p w14:paraId="62DDD91C" w14:textId="77777777" w:rsidR="00C1132C" w:rsidRPr="002347AB" w:rsidRDefault="008D7F03" w:rsidP="008D7F03">
            <w:pPr>
              <w:pStyle w:val="a4"/>
              <w:numPr>
                <w:ilvl w:val="0"/>
                <w:numId w:val="2"/>
              </w:numPr>
              <w:ind w:leftChars="0"/>
              <w:rPr>
                <w:rFonts w:cs="Times New Roman"/>
              </w:rPr>
            </w:pPr>
            <w:r w:rsidRPr="00A51E20">
              <w:rPr>
                <w:rFonts w:cs="新細明體" w:hint="eastAsia"/>
              </w:rPr>
              <w:t>天然食物含維他命</w:t>
            </w:r>
            <w:r w:rsidRPr="00A51E20">
              <w:rPr>
                <w:rFonts w:cs="新細明體" w:hint="eastAsia"/>
              </w:rPr>
              <w:t>D</w:t>
            </w:r>
            <w:r w:rsidRPr="00A51E20">
              <w:rPr>
                <w:rFonts w:cs="新細明體" w:hint="eastAsia"/>
              </w:rPr>
              <w:t>量少，建議由陽光補充或是直接使用營養補充品</w:t>
            </w:r>
          </w:p>
        </w:tc>
      </w:tr>
      <w:tr w:rsidR="00C1132C" w:rsidRPr="002347AB" w14:paraId="42989A0D" w14:textId="77777777">
        <w:trPr>
          <w:trHeight w:val="387"/>
        </w:trPr>
        <w:tc>
          <w:tcPr>
            <w:tcW w:w="988" w:type="dxa"/>
            <w:vMerge/>
          </w:tcPr>
          <w:p w14:paraId="49AA1368" w14:textId="77777777" w:rsidR="00C1132C" w:rsidRPr="002347AB" w:rsidRDefault="00C1132C" w:rsidP="002347AB">
            <w:pPr>
              <w:jc w:val="center"/>
              <w:rPr>
                <w:rFonts w:cs="Times New Roman"/>
                <w:b/>
                <w:bCs/>
              </w:rPr>
            </w:pPr>
          </w:p>
        </w:tc>
        <w:tc>
          <w:tcPr>
            <w:tcW w:w="992" w:type="dxa"/>
          </w:tcPr>
          <w:p w14:paraId="1CB7592C" w14:textId="77777777" w:rsidR="00C1132C" w:rsidRPr="002347AB" w:rsidRDefault="00C1132C" w:rsidP="009145F3">
            <w:pPr>
              <w:rPr>
                <w:rFonts w:cs="Times New Roman"/>
              </w:rPr>
            </w:pPr>
            <w:r w:rsidRPr="002347AB">
              <w:rPr>
                <w:rFonts w:cs="新細明體" w:hint="eastAsia"/>
              </w:rPr>
              <w:t>一般</w:t>
            </w:r>
          </w:p>
          <w:p w14:paraId="40E49F09" w14:textId="77777777" w:rsidR="00C1132C" w:rsidRPr="002347AB" w:rsidRDefault="00C1132C" w:rsidP="009145F3">
            <w:pPr>
              <w:rPr>
                <w:rFonts w:cs="Times New Roman"/>
              </w:rPr>
            </w:pPr>
            <w:r w:rsidRPr="002347AB">
              <w:rPr>
                <w:rFonts w:cs="新細明體" w:hint="eastAsia"/>
              </w:rPr>
              <w:t>族群</w:t>
            </w:r>
          </w:p>
        </w:tc>
        <w:tc>
          <w:tcPr>
            <w:tcW w:w="1701" w:type="dxa"/>
          </w:tcPr>
          <w:p w14:paraId="1DB60300" w14:textId="77777777" w:rsidR="00C1132C" w:rsidRPr="002347AB" w:rsidRDefault="00C1132C" w:rsidP="009145F3">
            <w:r w:rsidRPr="002347AB">
              <w:t>400-600 IU</w:t>
            </w:r>
          </w:p>
        </w:tc>
        <w:tc>
          <w:tcPr>
            <w:tcW w:w="4678" w:type="dxa"/>
            <w:vMerge/>
          </w:tcPr>
          <w:p w14:paraId="6A9DCB99" w14:textId="77777777" w:rsidR="00C1132C" w:rsidRPr="002347AB" w:rsidRDefault="00C1132C" w:rsidP="002347AB">
            <w:pPr>
              <w:pStyle w:val="a4"/>
              <w:numPr>
                <w:ilvl w:val="0"/>
                <w:numId w:val="2"/>
              </w:numPr>
              <w:ind w:leftChars="0"/>
              <w:rPr>
                <w:rFonts w:cs="Times New Roman"/>
              </w:rPr>
            </w:pPr>
          </w:p>
        </w:tc>
      </w:tr>
    </w:tbl>
    <w:p w14:paraId="735ACD05" w14:textId="77777777" w:rsidR="00C1132C" w:rsidRPr="006E4EFE" w:rsidRDefault="00C1132C" w:rsidP="00827E8A">
      <w:pPr>
        <w:rPr>
          <w:rFonts w:cs="Times New Roman"/>
          <w:sz w:val="16"/>
          <w:szCs w:val="16"/>
        </w:rPr>
      </w:pPr>
      <w:r w:rsidRPr="006E4EFE">
        <w:rPr>
          <w:rFonts w:cs="新細明體" w:hint="eastAsia"/>
          <w:sz w:val="16"/>
          <w:szCs w:val="16"/>
        </w:rPr>
        <w:t>參考資料：</w:t>
      </w:r>
    </w:p>
    <w:p w14:paraId="7D783305" w14:textId="77777777" w:rsidR="00C1132C" w:rsidRPr="006E4EFE" w:rsidRDefault="00C1132C" w:rsidP="00827E8A">
      <w:pPr>
        <w:pStyle w:val="a4"/>
        <w:numPr>
          <w:ilvl w:val="0"/>
          <w:numId w:val="3"/>
        </w:numPr>
        <w:ind w:leftChars="0"/>
        <w:rPr>
          <w:rFonts w:ascii="Segoe UI" w:hAnsi="Segoe UI" w:cs="Segoe UI"/>
          <w:color w:val="212121"/>
          <w:sz w:val="16"/>
          <w:szCs w:val="16"/>
          <w:shd w:val="clear" w:color="auto" w:fill="FFFFFF"/>
        </w:rPr>
      </w:pPr>
      <w:r w:rsidRPr="006E4EFE">
        <w:rPr>
          <w:rFonts w:ascii="Segoe UI" w:hAnsi="Segoe UI" w:cs="Segoe UI"/>
          <w:color w:val="212121"/>
          <w:sz w:val="16"/>
          <w:szCs w:val="16"/>
          <w:shd w:val="clear" w:color="auto" w:fill="FFFFFF"/>
        </w:rPr>
        <w:t xml:space="preserve">Martinez AE, </w:t>
      </w:r>
      <w:proofErr w:type="spellStart"/>
      <w:r w:rsidRPr="006E4EFE">
        <w:rPr>
          <w:rFonts w:ascii="Segoe UI" w:hAnsi="Segoe UI" w:cs="Segoe UI"/>
          <w:color w:val="212121"/>
          <w:sz w:val="16"/>
          <w:szCs w:val="16"/>
          <w:shd w:val="clear" w:color="auto" w:fill="FFFFFF"/>
        </w:rPr>
        <w:t>Mellerio</w:t>
      </w:r>
      <w:proofErr w:type="spellEnd"/>
      <w:r w:rsidRPr="006E4EFE">
        <w:rPr>
          <w:rFonts w:ascii="Segoe UI" w:hAnsi="Segoe UI" w:cs="Segoe UI"/>
          <w:color w:val="212121"/>
          <w:sz w:val="16"/>
          <w:szCs w:val="16"/>
          <w:shd w:val="clear" w:color="auto" w:fill="FFFFFF"/>
        </w:rPr>
        <w:t xml:space="preserve"> JE. Osteopenia and osteoporosis in epidermolysis bullosa. </w:t>
      </w:r>
      <w:r w:rsidRPr="006E4EFE">
        <w:rPr>
          <w:rFonts w:ascii="Segoe UI" w:hAnsi="Segoe UI" w:cs="Segoe UI"/>
          <w:i/>
          <w:iCs/>
          <w:color w:val="212121"/>
          <w:sz w:val="16"/>
          <w:szCs w:val="16"/>
          <w:shd w:val="clear" w:color="auto" w:fill="FFFFFF"/>
        </w:rPr>
        <w:t>Dermatol Clin</w:t>
      </w:r>
      <w:r w:rsidRPr="006E4EFE">
        <w:rPr>
          <w:rFonts w:ascii="Segoe UI" w:hAnsi="Segoe UI" w:cs="Segoe UI"/>
          <w:color w:val="212121"/>
          <w:sz w:val="16"/>
          <w:szCs w:val="16"/>
          <w:shd w:val="clear" w:color="auto" w:fill="FFFFFF"/>
        </w:rPr>
        <w:t>. 2010;28(2):353-xi.</w:t>
      </w:r>
    </w:p>
    <w:p w14:paraId="074A50EA" w14:textId="77777777" w:rsidR="00C1132C" w:rsidRPr="006E4EFE" w:rsidRDefault="00C1132C" w:rsidP="00827E8A">
      <w:pPr>
        <w:pStyle w:val="a4"/>
        <w:numPr>
          <w:ilvl w:val="0"/>
          <w:numId w:val="3"/>
        </w:numPr>
        <w:ind w:leftChars="0"/>
        <w:rPr>
          <w:rFonts w:ascii="Segoe UI" w:hAnsi="Segoe UI" w:cs="Segoe UI"/>
          <w:color w:val="212121"/>
          <w:sz w:val="16"/>
          <w:szCs w:val="16"/>
          <w:shd w:val="clear" w:color="auto" w:fill="FFFFFF"/>
        </w:rPr>
      </w:pPr>
      <w:r w:rsidRPr="006E4EFE">
        <w:rPr>
          <w:sz w:val="18"/>
          <w:szCs w:val="18"/>
        </w:rPr>
        <w:t xml:space="preserve">2019 </w:t>
      </w:r>
      <w:r w:rsidRPr="006E4EFE">
        <w:rPr>
          <w:rFonts w:cs="新細明體" w:hint="eastAsia"/>
          <w:sz w:val="18"/>
          <w:szCs w:val="18"/>
        </w:rPr>
        <w:t>台灣成人骨質疏鬆症防治之共識及指引</w:t>
      </w:r>
    </w:p>
    <w:p w14:paraId="490ECB7E" w14:textId="77777777" w:rsidR="00C1132C" w:rsidRPr="006E4EFE" w:rsidRDefault="00C1132C" w:rsidP="00827E8A">
      <w:pPr>
        <w:pStyle w:val="a4"/>
        <w:numPr>
          <w:ilvl w:val="0"/>
          <w:numId w:val="3"/>
        </w:numPr>
        <w:ind w:leftChars="0"/>
        <w:rPr>
          <w:rFonts w:cs="Times New Roman"/>
          <w:sz w:val="16"/>
          <w:szCs w:val="16"/>
        </w:rPr>
      </w:pPr>
      <w:r w:rsidRPr="006E4EFE">
        <w:rPr>
          <w:rFonts w:cs="新細明體" w:hint="eastAsia"/>
          <w:sz w:val="16"/>
          <w:szCs w:val="16"/>
        </w:rPr>
        <w:t>骨質疏鬆</w:t>
      </w:r>
      <w:r w:rsidRPr="006E4EFE">
        <w:rPr>
          <w:sz w:val="16"/>
          <w:szCs w:val="16"/>
        </w:rPr>
        <w:t>&amp;</w:t>
      </w:r>
      <w:r w:rsidRPr="006E4EFE">
        <w:rPr>
          <w:rFonts w:cs="新細明體" w:hint="eastAsia"/>
          <w:sz w:val="16"/>
          <w:szCs w:val="16"/>
        </w:rPr>
        <w:t>肌少症診治照護全書</w:t>
      </w:r>
      <w:r w:rsidRPr="006E4EFE">
        <w:rPr>
          <w:sz w:val="16"/>
          <w:szCs w:val="16"/>
        </w:rPr>
        <w:t xml:space="preserve">  </w:t>
      </w:r>
      <w:r w:rsidRPr="006E4EFE">
        <w:rPr>
          <w:rFonts w:cs="新細明體" w:hint="eastAsia"/>
          <w:sz w:val="16"/>
          <w:szCs w:val="16"/>
        </w:rPr>
        <w:t>戴大為醫師著</w:t>
      </w:r>
    </w:p>
    <w:sectPr w:rsidR="00C1132C" w:rsidRPr="006E4EFE" w:rsidSect="00D7784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C554D" w14:textId="77777777" w:rsidR="001F290D" w:rsidRDefault="001F290D" w:rsidP="00851F8F">
      <w:pPr>
        <w:rPr>
          <w:rFonts w:cs="Times New Roman"/>
        </w:rPr>
      </w:pPr>
      <w:r>
        <w:rPr>
          <w:rFonts w:cs="Times New Roman"/>
        </w:rPr>
        <w:separator/>
      </w:r>
    </w:p>
  </w:endnote>
  <w:endnote w:type="continuationSeparator" w:id="0">
    <w:p w14:paraId="0CF288A9" w14:textId="77777777" w:rsidR="001F290D" w:rsidRDefault="001F290D" w:rsidP="00851F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AB8" w14:textId="3B10F934" w:rsidR="006E06A5" w:rsidRDefault="006E06A5" w:rsidP="006E06A5">
    <w:pPr>
      <w:pStyle w:val="a7"/>
      <w:jc w:val="center"/>
    </w:pPr>
    <w:r>
      <w:rPr>
        <w:rFonts w:hint="eastAsia"/>
      </w:rPr>
      <w:t>成大醫院泡泡龍整合門診</w:t>
    </w:r>
    <w:r>
      <w:rPr>
        <w:rFonts w:hint="eastAsia"/>
      </w:rPr>
      <w:t xml:space="preserve"> </w:t>
    </w:r>
    <w:r>
      <w:rPr>
        <w:rFonts w:hint="eastAsia"/>
      </w:rPr>
      <w:t>王信柔醫師編撰</w:t>
    </w:r>
    <w:r>
      <w:rPr>
        <w:rFonts w:hint="eastAsia"/>
      </w:rPr>
      <w:t xml:space="preserve">  </w:t>
    </w:r>
    <w:r>
      <w:t>2020.08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E3EAD" w14:textId="77777777" w:rsidR="001F290D" w:rsidRDefault="001F290D" w:rsidP="00851F8F">
      <w:pPr>
        <w:rPr>
          <w:rFonts w:cs="Times New Roman"/>
        </w:rPr>
      </w:pPr>
      <w:r>
        <w:rPr>
          <w:rFonts w:cs="Times New Roman"/>
        </w:rPr>
        <w:separator/>
      </w:r>
    </w:p>
  </w:footnote>
  <w:footnote w:type="continuationSeparator" w:id="0">
    <w:p w14:paraId="3864596C" w14:textId="77777777" w:rsidR="001F290D" w:rsidRDefault="001F290D" w:rsidP="00851F8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42301"/>
    <w:multiLevelType w:val="hybridMultilevel"/>
    <w:tmpl w:val="39AE3AA6"/>
    <w:lvl w:ilvl="0" w:tplc="BF442F4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9FB29BE"/>
    <w:multiLevelType w:val="hybridMultilevel"/>
    <w:tmpl w:val="FA760FE6"/>
    <w:lvl w:ilvl="0" w:tplc="D6CA81B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EF24B38"/>
    <w:multiLevelType w:val="hybridMultilevel"/>
    <w:tmpl w:val="88E06656"/>
    <w:lvl w:ilvl="0" w:tplc="278C8302">
      <w:start w:val="1"/>
      <w:numFmt w:val="decimal"/>
      <w:lvlText w:val="%1."/>
      <w:lvlJc w:val="left"/>
      <w:pPr>
        <w:ind w:left="360" w:hanging="360"/>
      </w:pPr>
      <w:rPr>
        <w:rFonts w:ascii="Calibri" w:hAnsi="Calibri"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DC"/>
    <w:rsid w:val="00033A69"/>
    <w:rsid w:val="000C4A68"/>
    <w:rsid w:val="001F290D"/>
    <w:rsid w:val="002347AB"/>
    <w:rsid w:val="002B68E4"/>
    <w:rsid w:val="00303954"/>
    <w:rsid w:val="00410FC0"/>
    <w:rsid w:val="00466C11"/>
    <w:rsid w:val="0048078D"/>
    <w:rsid w:val="004E1E13"/>
    <w:rsid w:val="004F4824"/>
    <w:rsid w:val="00594ADC"/>
    <w:rsid w:val="005F559B"/>
    <w:rsid w:val="00604996"/>
    <w:rsid w:val="006E06A5"/>
    <w:rsid w:val="006E4EFE"/>
    <w:rsid w:val="00766E2E"/>
    <w:rsid w:val="007D48EC"/>
    <w:rsid w:val="0082134B"/>
    <w:rsid w:val="008256B5"/>
    <w:rsid w:val="00827E8A"/>
    <w:rsid w:val="00851F8F"/>
    <w:rsid w:val="008D7F03"/>
    <w:rsid w:val="008E175A"/>
    <w:rsid w:val="008E4F1B"/>
    <w:rsid w:val="009145F3"/>
    <w:rsid w:val="00923EAB"/>
    <w:rsid w:val="009606B8"/>
    <w:rsid w:val="009D541F"/>
    <w:rsid w:val="00A02A5E"/>
    <w:rsid w:val="00A35314"/>
    <w:rsid w:val="00A35B14"/>
    <w:rsid w:val="00A51E20"/>
    <w:rsid w:val="00A57A76"/>
    <w:rsid w:val="00B05E77"/>
    <w:rsid w:val="00C022E5"/>
    <w:rsid w:val="00C1132C"/>
    <w:rsid w:val="00D03245"/>
    <w:rsid w:val="00D2038C"/>
    <w:rsid w:val="00D77849"/>
    <w:rsid w:val="00DB2463"/>
    <w:rsid w:val="00DC3D2D"/>
    <w:rsid w:val="00EB3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8DF46"/>
  <w15:docId w15:val="{1A601B10-D780-4442-9044-5C8FE3A9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849"/>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7A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B316D"/>
    <w:pPr>
      <w:ind w:leftChars="200" w:left="480"/>
    </w:pPr>
  </w:style>
  <w:style w:type="paragraph" w:styleId="a5">
    <w:name w:val="header"/>
    <w:basedOn w:val="a"/>
    <w:link w:val="a6"/>
    <w:uiPriority w:val="99"/>
    <w:rsid w:val="00851F8F"/>
    <w:pPr>
      <w:tabs>
        <w:tab w:val="center" w:pos="4153"/>
        <w:tab w:val="right" w:pos="8306"/>
      </w:tabs>
      <w:snapToGrid w:val="0"/>
    </w:pPr>
    <w:rPr>
      <w:sz w:val="20"/>
      <w:szCs w:val="20"/>
    </w:rPr>
  </w:style>
  <w:style w:type="character" w:customStyle="1" w:styleId="a6">
    <w:name w:val="頁首 字元"/>
    <w:link w:val="a5"/>
    <w:uiPriority w:val="99"/>
    <w:locked/>
    <w:rsid w:val="00851F8F"/>
    <w:rPr>
      <w:sz w:val="20"/>
      <w:szCs w:val="20"/>
    </w:rPr>
  </w:style>
  <w:style w:type="paragraph" w:styleId="a7">
    <w:name w:val="footer"/>
    <w:basedOn w:val="a"/>
    <w:link w:val="a8"/>
    <w:uiPriority w:val="99"/>
    <w:rsid w:val="00851F8F"/>
    <w:pPr>
      <w:tabs>
        <w:tab w:val="center" w:pos="4153"/>
        <w:tab w:val="right" w:pos="8306"/>
      </w:tabs>
      <w:snapToGrid w:val="0"/>
    </w:pPr>
    <w:rPr>
      <w:sz w:val="20"/>
      <w:szCs w:val="20"/>
    </w:rPr>
  </w:style>
  <w:style w:type="character" w:customStyle="1" w:styleId="a8">
    <w:name w:val="頁尾 字元"/>
    <w:link w:val="a7"/>
    <w:uiPriority w:val="99"/>
    <w:locked/>
    <w:rsid w:val="00851F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hosp</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Wang</dc:creator>
  <cp:keywords/>
  <dc:description/>
  <cp:lastModifiedBy>PC</cp:lastModifiedBy>
  <cp:revision>2</cp:revision>
  <dcterms:created xsi:type="dcterms:W3CDTF">2020-09-16T12:39:00Z</dcterms:created>
  <dcterms:modified xsi:type="dcterms:W3CDTF">2020-09-16T12:39:00Z</dcterms:modified>
</cp:coreProperties>
</file>